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Lesson 3A: </w:t>
      </w:r>
      <w:r w:rsidDel="00000000" w:rsidR="00000000" w:rsidRPr="00000000">
        <w:rPr>
          <w:rtl w:val="0"/>
        </w:rPr>
        <w:t xml:space="preserve">Cascading impacts 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Lesson Objectives: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Students will be able to hypothesize how decreased populations of shelled organisms impact other species in the ecosystem.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Students will be able to hypothesize how these changes impact people and industries in Washington.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Relevant NGSS Standards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MS-LS2-1. Analyze and interpret data to provide evidence for the effects of resource availability on organisms and populations of organisms in an ecosystem.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Emphasis is on cause and effect relationships between resources and growth of individual organisms and the numbers of organisms in ecosystems during periods of abundant and scarce resources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MS-LS2-3. Develop a model to describe the cycling of matter and flow of energy among living and nonliving parts of an ecosystem.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Emphasis is on describing the conservation of matter and flow of energy into and out of various ecosystems, and on defining the boundaries of the system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MS-LS2-4. Construct an argument supported by empirical evidence that changes to physical or biological components of an ecosystem affect populations.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Emphasis is on recognizing patterns in data and making warranted inferences about changes in populations, and on evaluating empirical evidence supporting arguments about changes to ecosystems.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Powerpoint: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Revisit shells from first activity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happens to other species? 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Diets of secondary and tertiary predators. 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3"/>
        </w:numPr>
        <w:ind w:left="1440" w:hanging="360"/>
      </w:pPr>
      <w:r w:rsidDel="00000000" w:rsidR="00000000" w:rsidRPr="00000000">
        <w:rPr>
          <w:u w:val="single"/>
          <w:rtl w:val="0"/>
        </w:rPr>
        <w:t xml:space="preserve">Activity</w:t>
      </w:r>
      <w:r w:rsidDel="00000000" w:rsidR="00000000" w:rsidRPr="00000000">
        <w:rPr>
          <w:rtl w:val="0"/>
        </w:rPr>
        <w:t xml:space="preserve">: model before vs. after - food webs with smaller populations of species that depend on calcium carbonate (MS-LS2-1, MS-LS2-3) 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3"/>
        </w:numPr>
        <w:ind w:left="2160" w:hanging="360"/>
        <w:rPr>
          <w:i w:val="1"/>
        </w:rPr>
      </w:pPr>
      <w:r w:rsidDel="00000000" w:rsidR="00000000" w:rsidRPr="00000000">
        <w:rPr>
          <w:rtl w:val="0"/>
        </w:rPr>
        <w:t xml:space="preserve">NGSS: </w:t>
      </w:r>
      <w:r w:rsidDel="00000000" w:rsidR="00000000" w:rsidRPr="00000000">
        <w:rPr>
          <w:i w:val="1"/>
          <w:rtl w:val="0"/>
        </w:rPr>
        <w:t xml:space="preserve">Developing and Using Models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Human impacts 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How do these things impact humans?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Fisheries, Tourism, Livelihoods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b w:val="1"/>
      <w:i w:val="1"/>
      <w:color w:val="1c4587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